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200" w:line="240" w:lineRule="auto"/>
        <w:jc w:val="left"/>
        <w:rPr/>
      </w:pPr>
      <w:bookmarkStart w:colFirst="0" w:colLast="0" w:name="_2kw9wns4kko5" w:id="0"/>
      <w:bookmarkEnd w:id="0"/>
      <w:r w:rsidDel="00000000" w:rsidR="00000000" w:rsidRPr="00000000">
        <w:rPr>
          <w:rtl w:val="0"/>
        </w:rPr>
        <w:t xml:space="preserve">APPLiA Statement on the Industrial Accelerator Act - Building Renovation Support Schemes</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APPLiA acknowledges the Industrial Accelerator Act (IAA) as a meaningful step to strengthen Europe’s industrial base, </w:t>
      </w:r>
      <w:r w:rsidDel="00000000" w:rsidR="00000000" w:rsidRPr="00000000">
        <w:rPr>
          <w:rtl w:val="0"/>
        </w:rPr>
        <w:t xml:space="preserve">yet warns that the current focus on energy intensive industries and limited number of net zero technologies is incomplete</w:t>
      </w:r>
      <w:r w:rsidDel="00000000" w:rsidR="00000000" w:rsidRPr="00000000">
        <w:rPr>
          <w:rtl w:val="0"/>
        </w:rPr>
        <w:t xml:space="preserve">.</w:t>
      </w:r>
      <w:r w:rsidDel="00000000" w:rsidR="00000000" w:rsidRPr="00000000">
        <w:rPr>
          <w:rtl w:val="0"/>
        </w:rPr>
        <w:t xml:space="preserve"> T</w:t>
      </w:r>
      <w:r w:rsidDel="00000000" w:rsidR="00000000" w:rsidRPr="00000000">
        <w:rPr>
          <w:rtl w:val="0"/>
        </w:rPr>
        <w:t xml:space="preserve">he stated </w:t>
      </w:r>
      <w:r w:rsidDel="00000000" w:rsidR="00000000" w:rsidRPr="00000000">
        <w:rPr>
          <w:rtl w:val="0"/>
        </w:rPr>
        <w:t xml:space="preserve">aim of the IAA is to support decarbonisation and reduce strategic dependencies </w:t>
      </w:r>
      <w:r w:rsidDel="00000000" w:rsidR="00000000" w:rsidRPr="00000000">
        <w:rPr>
          <w:rtl w:val="0"/>
        </w:rPr>
        <w:t xml:space="preserve">whilst maintaining </w:t>
      </w:r>
      <w:r w:rsidDel="00000000" w:rsidR="00000000" w:rsidRPr="00000000">
        <w:rPr>
          <w:rtl w:val="0"/>
        </w:rPr>
        <w:t xml:space="preserve">the Union’s commitments to the WTO Agreement on Government Procurement</w:t>
      </w:r>
      <w:r w:rsidDel="00000000" w:rsidR="00000000" w:rsidRPr="00000000">
        <w:rPr>
          <w:rtl w:val="0"/>
        </w:rPr>
        <w:t xml:space="preserve">. In order</w:t>
      </w:r>
      <w:r w:rsidDel="00000000" w:rsidR="00000000" w:rsidRPr="00000000">
        <w:rPr>
          <w:rtl w:val="0"/>
        </w:rPr>
        <w:t xml:space="preserve"> to best achieve these aims,</w:t>
      </w:r>
      <w:r w:rsidDel="00000000" w:rsidR="00000000" w:rsidRPr="00000000">
        <w:rPr>
          <w:rtl w:val="0"/>
        </w:rPr>
        <w:t xml:space="preserve"> the act should </w:t>
      </w:r>
      <w:r w:rsidDel="00000000" w:rsidR="00000000" w:rsidRPr="00000000">
        <w:rPr>
          <w:rtl w:val="0"/>
        </w:rPr>
        <w:t xml:space="preserve">recognise</w:t>
      </w:r>
      <w:r w:rsidDel="00000000" w:rsidR="00000000" w:rsidRPr="00000000">
        <w:rPr>
          <w:rtl w:val="0"/>
        </w:rPr>
        <w:t xml:space="preserve"> the impact of energy-efficient </w:t>
      </w:r>
      <w:r w:rsidDel="00000000" w:rsidR="00000000" w:rsidRPr="00000000">
        <w:rPr>
          <w:rtl w:val="0"/>
        </w:rPr>
        <w:t xml:space="preserve">appliances</w:t>
      </w:r>
      <w:r w:rsidDel="00000000" w:rsidR="00000000" w:rsidRPr="00000000">
        <w:rPr>
          <w:rtl w:val="0"/>
        </w:rPr>
        <w:t xml:space="preserve"> </w:t>
      </w:r>
      <w:r w:rsidDel="00000000" w:rsidR="00000000" w:rsidRPr="00000000">
        <w:rPr>
          <w:rtl w:val="0"/>
        </w:rPr>
        <w:t xml:space="preserve">on the Union economy</w:t>
      </w:r>
      <w:r w:rsidDel="00000000" w:rsidR="00000000" w:rsidRPr="00000000">
        <w:rPr>
          <w:rtl w:val="0"/>
        </w:rPr>
        <w:t xml:space="preserve">, and in the energy transition</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home appliance sector remains an important part of the EU economy, contributing €79.7 </w:t>
      </w:r>
      <w:r w:rsidDel="00000000" w:rsidR="00000000" w:rsidRPr="00000000">
        <w:rPr>
          <w:rtl w:val="0"/>
        </w:rPr>
        <w:t xml:space="preserve">billion in value added to GDP and supporting nearly one million jobs. While the region has historically maintained a strong manufacturing base, with over 75% of large appliances sold in Europe being produced there, this is under strain. Production volumes fell from 68 million units in 2019 to 52 million in 2024, causing the share of EU-produced appliances in total sales </w:t>
      </w:r>
      <w:r w:rsidDel="00000000" w:rsidR="00000000" w:rsidRPr="00000000">
        <w:rPr>
          <w:rtl w:val="0"/>
        </w:rPr>
        <w:t xml:space="preserve">to drop by 5%</w:t>
      </w:r>
      <w:r w:rsidDel="00000000" w:rsidR="00000000" w:rsidRPr="00000000">
        <w:rPr>
          <w:vertAlign w:val="superscript"/>
        </w:rPr>
        <w:footnoteReference w:customMarkFollows="0" w:id="0"/>
      </w:r>
      <w:r w:rsidDel="00000000" w:rsidR="00000000" w:rsidRPr="00000000">
        <w:rPr>
          <w:rtl w:val="0"/>
        </w:rPr>
        <w:t xml:space="preserve">. </w:t>
      </w:r>
      <w:r w:rsidDel="00000000" w:rsidR="00000000" w:rsidRPr="00000000">
        <w:rPr>
          <w:rtl w:val="0"/>
        </w:rPr>
        <w:t xml:space="preserve">Beyond economic weight, the sector helps drive the energy transition. With households accounting for </w:t>
      </w:r>
      <w:r w:rsidDel="00000000" w:rsidR="00000000" w:rsidRPr="00000000">
        <w:rPr>
          <w:rtl w:val="0"/>
        </w:rPr>
        <w:t xml:space="preserve">more</w:t>
      </w:r>
      <w:r w:rsidDel="00000000" w:rsidR="00000000" w:rsidRPr="00000000">
        <w:rPr>
          <w:b w:val="1"/>
          <w:bCs w:val="1"/>
          <w:rtl w:val="0"/>
        </w:rPr>
        <w:t xml:space="preserve"> </w:t>
      </w:r>
      <w:r w:rsidDel="00000000" w:rsidR="00000000" w:rsidRPr="00000000">
        <w:rPr>
          <w:rtl w:val="0"/>
        </w:rPr>
        <w:t xml:space="preserve">than a quarter</w:t>
      </w:r>
      <w:r w:rsidDel="00000000" w:rsidR="00000000" w:rsidRPr="00000000">
        <w:rPr>
          <w:rtl w:val="0"/>
        </w:rPr>
        <w:t xml:space="preserve"> of final energy consumption, improving their efficiency is key to optimising energy consumption. S</w:t>
      </w:r>
      <w:r w:rsidDel="00000000" w:rsidR="00000000" w:rsidRPr="00000000">
        <w:rPr>
          <w:rtl w:val="0"/>
        </w:rPr>
        <w:t xml:space="preserve">ince 2019 </w:t>
      </w:r>
      <w:r w:rsidDel="00000000" w:rsidR="00000000" w:rsidRPr="00000000">
        <w:rPr>
          <w:rtl w:val="0"/>
        </w:rPr>
        <w:t xml:space="preserve">energy-efficient appliances have contributed to a 12 Mtoe (million tonnes of oil equivalent) reduction in energy consumption</w:t>
      </w:r>
      <w:r w:rsidDel="00000000" w:rsidR="00000000" w:rsidRPr="00000000">
        <w:rPr>
          <w:vertAlign w:val="superscript"/>
        </w:rPr>
        <w:footnoteReference w:customMarkFollows="0" w:id="1"/>
      </w: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Ensuring the viability of downstream sectors is an effective way to safeguard the EU’s industrial base and support the energy transition whilst delivering direct savings to citizens.</w:t>
      </w:r>
      <w:r w:rsidDel="00000000" w:rsidR="00000000" w:rsidRPr="00000000">
        <w:rPr>
          <w:rtl w:val="0"/>
        </w:rPr>
        <w:t xml:space="preserve"> </w:t>
      </w:r>
    </w:p>
    <w:p w:rsidR="00000000" w:rsidDel="00000000" w:rsidP="00000000" w:rsidRDefault="00000000" w:rsidRPr="00000000" w14:paraId="00000004">
      <w:pPr>
        <w:rPr>
          <w:color w:val="0047ba"/>
        </w:rPr>
      </w:pPr>
      <w:r w:rsidDel="00000000" w:rsidR="00000000" w:rsidRPr="00000000">
        <w:rPr>
          <w:b w:val="1"/>
          <w:bCs w:val="1"/>
          <w:color w:val="0047ba"/>
          <w:rtl w:val="0"/>
        </w:rPr>
        <w:t xml:space="preserve">Energy efficient appliances as part of the public support schemes for building renovation</w:t>
      </w:r>
      <w:r w:rsidDel="00000000" w:rsidR="00000000" w:rsidRPr="00000000">
        <w:rPr>
          <w:color w:val="0047ba"/>
          <w:rtl w:val="0"/>
        </w:rPr>
        <w:t xml:space="preserve"> </w:t>
      </w:r>
    </w:p>
    <w:p w:rsidR="00000000" w:rsidDel="00000000" w:rsidP="00000000" w:rsidRDefault="00000000" w:rsidRPr="00000000" w14:paraId="00000005">
      <w:pPr>
        <w:rPr/>
      </w:pPr>
      <w:r w:rsidDel="00000000" w:rsidR="00000000" w:rsidRPr="00000000">
        <w:rPr>
          <w:rtl w:val="0"/>
        </w:rPr>
        <w:t xml:space="preserve">Whilst the current IAA proposal supports the creation of </w:t>
      </w:r>
      <w:r w:rsidDel="00000000" w:rsidR="00000000" w:rsidRPr="00000000">
        <w:rPr>
          <w:rtl w:val="0"/>
        </w:rPr>
        <w:t xml:space="preserve">building renovation</w:t>
      </w:r>
      <w:r w:rsidDel="00000000" w:rsidR="00000000" w:rsidRPr="00000000">
        <w:rPr>
          <w:rtl w:val="0"/>
        </w:rPr>
        <w:t xml:space="preserve"> public support schemes for energy intensive raw materials, it overlooks </w:t>
      </w:r>
      <w:r w:rsidDel="00000000" w:rsidR="00000000" w:rsidRPr="00000000">
        <w:rPr>
          <w:rtl w:val="0"/>
        </w:rPr>
        <w:t xml:space="preserve">energy efficient and energy smart appliances</w:t>
      </w: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Support schemes for energy intensive raw materials that overlook sectors which turn raw materials into consumer oriented products, providing energy savings for both consumers and national grids, are clearly unbalanced. </w:t>
      </w:r>
    </w:p>
    <w:p w:rsidR="00000000" w:rsidDel="00000000" w:rsidP="00000000" w:rsidRDefault="00000000" w:rsidRPr="00000000" w14:paraId="00000006">
      <w:pPr>
        <w:rPr>
          <w:sz w:val="18"/>
          <w:szCs w:val="18"/>
        </w:rPr>
      </w:pPr>
      <w:r w:rsidDel="00000000" w:rsidR="00000000" w:rsidRPr="00000000">
        <w:rPr>
          <w:rtl w:val="0"/>
        </w:rPr>
        <w:t xml:space="preserve">It has been estimated that e</w:t>
      </w:r>
      <w:r w:rsidDel="00000000" w:rsidR="00000000" w:rsidRPr="00000000">
        <w:rPr>
          <w:rtl w:val="0"/>
        </w:rPr>
        <w:t xml:space="preserve">codesign measures and Energy Labelling will bring energy savings of approximately 230 Mtoe by 2030</w:t>
      </w:r>
      <w:r w:rsidDel="00000000" w:rsidR="00000000" w:rsidRPr="00000000">
        <w:rPr>
          <w:vertAlign w:val="superscript"/>
        </w:rPr>
        <w:footnoteReference w:customMarkFollows="0" w:id="2"/>
      </w:r>
      <w:r w:rsidDel="00000000" w:rsidR="00000000" w:rsidRPr="00000000">
        <w:rPr>
          <w:rtl w:val="0"/>
        </w:rPr>
        <w:t xml:space="preserve">, a sum equal to the total annual energy consumption of France</w:t>
      </w:r>
      <w:r w:rsidDel="00000000" w:rsidR="00000000" w:rsidRPr="00000000">
        <w:rPr>
          <w:vertAlign w:val="superscript"/>
        </w:rPr>
        <w:footnoteReference w:customMarkFollows="0" w:id="3"/>
      </w:r>
      <w:r w:rsidDel="00000000" w:rsidR="00000000" w:rsidRPr="00000000">
        <w:rPr>
          <w:rtl w:val="0"/>
        </w:rPr>
        <w:t xml:space="preserve">.</w:t>
      </w:r>
      <w:r w:rsidDel="00000000" w:rsidR="00000000" w:rsidRPr="00000000">
        <w:rPr>
          <w:rtl w:val="0"/>
        </w:rPr>
        <w:t xml:space="preserve"> Furthermore, smart energy appliances play a crucial role in reducing energy demand and optimising energy consumption. Smart appliances  “communicate” with the grid to adjust the timing and the amount of electricity demand, thereby supporting the stability of power grids and the use of renewable energy sources. This demonstrates the role consumers play in the green transition, provided they make the switch</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w:t>
      </w:r>
      <w:r w:rsidDel="00000000" w:rsidR="00000000" w:rsidRPr="00000000">
        <w:rPr>
          <w:rtl w:val="0"/>
        </w:rPr>
        <w:t xml:space="preserve">ntegrating energy efficient and </w:t>
      </w:r>
      <w:r w:rsidDel="00000000" w:rsidR="00000000" w:rsidRPr="00000000">
        <w:rPr>
          <w:rtl w:val="0"/>
        </w:rPr>
        <w:t xml:space="preserve">energy smart appliances</w:t>
      </w:r>
      <w:r w:rsidDel="00000000" w:rsidR="00000000" w:rsidRPr="00000000">
        <w:rPr>
          <w:rtl w:val="0"/>
        </w:rPr>
        <w:t xml:space="preserve"> into public support schemes scales proven national successes, such as the Italian "home appliance bonus"</w:t>
      </w:r>
      <w:r w:rsidDel="00000000" w:rsidR="00000000" w:rsidRPr="00000000">
        <w:rPr>
          <w:vertAlign w:val="superscript"/>
        </w:rPr>
        <w:footnoteReference w:customMarkFollows="0" w:id="4"/>
      </w:r>
      <w:r w:rsidDel="00000000" w:rsidR="00000000" w:rsidRPr="00000000">
        <w:rPr>
          <w:rtl w:val="0"/>
        </w:rPr>
        <w:t xml:space="preserve">. This scheme operated by providing consumers with a financial voucher of up to €200 to incentivise the replacement of obsolete, energy-inefficient units with new, EU produced, energy efficient models. The program demonstrated a  significant  social and economic impact with 300,000 vouchers issued in a recent cycle; the high demand underscores the necessity of transitioning such models into structural EU-wide demand channels.</w:t>
      </w:r>
    </w:p>
    <w:p w:rsidR="00000000" w:rsidDel="00000000" w:rsidP="00000000" w:rsidRDefault="00000000" w:rsidRPr="00000000" w14:paraId="00000008">
      <w:pPr>
        <w:rPr/>
      </w:pPr>
      <w:r w:rsidDel="00000000" w:rsidR="00000000" w:rsidRPr="00000000">
        <w:rPr>
          <w:rtl w:val="0"/>
        </w:rPr>
        <w:t xml:space="preserve">For these reasons, APPLiA believes that</w:t>
      </w:r>
      <w:r w:rsidDel="00000000" w:rsidR="00000000" w:rsidRPr="00000000">
        <w:rPr>
          <w:rtl w:val="0"/>
        </w:rPr>
        <w:t xml:space="preserve"> the scope of </w:t>
      </w:r>
      <w:r w:rsidDel="00000000" w:rsidR="00000000" w:rsidRPr="00000000">
        <w:rPr>
          <w:rtl w:val="0"/>
        </w:rPr>
        <w:t xml:space="preserve">building renovation</w:t>
      </w:r>
      <w:r w:rsidDel="00000000" w:rsidR="00000000" w:rsidRPr="00000000">
        <w:rPr>
          <w:rtl w:val="0"/>
        </w:rPr>
        <w:t xml:space="preserve"> public support schemes should be expanded to include </w:t>
      </w:r>
      <w:r w:rsidDel="00000000" w:rsidR="00000000" w:rsidRPr="00000000">
        <w:rPr>
          <w:rtl w:val="0"/>
        </w:rPr>
        <w:t xml:space="preserve">energy efficient and energy smart appliances</w:t>
      </w:r>
      <w:r w:rsidDel="00000000" w:rsidR="00000000" w:rsidRPr="00000000">
        <w:rPr>
          <w:rtl w:val="0"/>
        </w:rPr>
        <w:t xml:space="preserve">.</w:t>
      </w:r>
      <w:r w:rsidDel="00000000" w:rsidR="00000000" w:rsidRPr="00000000">
        <w:rPr>
          <w:rtl w:val="0"/>
        </w:rPr>
        <w:t xml:space="preserve"> This would align the Act’s aims of supporting decarbonisation and increasing the percentage of manufacturing in the EU GDP while providing tangible energy savings for consumers, particularly in the face of volatile energy markets. </w:t>
      </w:r>
      <w:r w:rsidDel="00000000" w:rsidR="00000000" w:rsidRPr="00000000">
        <w:rPr>
          <w:rtl w:val="0"/>
        </w:rPr>
      </w:r>
    </w:p>
    <w:p w:rsidR="00000000" w:rsidDel="00000000" w:rsidP="00000000" w:rsidRDefault="00000000" w:rsidRPr="00000000" w14:paraId="00000009">
      <w:pPr>
        <w:spacing w:after="0" w:lineRule="auto"/>
        <w:ind w:left="0" w:firstLine="0"/>
        <w:rPr>
          <w:b w:val="1"/>
          <w:bCs w:val="1"/>
          <w:color w:val="3cb4e5"/>
          <w:sz w:val="18"/>
          <w:szCs w:val="18"/>
        </w:rPr>
      </w:pPr>
      <w:r w:rsidDel="00000000" w:rsidR="00000000" w:rsidRPr="00000000">
        <w:rPr>
          <w:b w:val="1"/>
          <w:bCs w:val="1"/>
          <w:color w:val="3cb4e5"/>
          <w:sz w:val="18"/>
          <w:szCs w:val="18"/>
          <w:rtl w:val="0"/>
        </w:rPr>
        <w:t xml:space="preserve">Contact </w:t>
      </w:r>
    </w:p>
    <w:p w:rsidR="00000000" w:rsidDel="00000000" w:rsidP="00000000" w:rsidRDefault="00000000" w:rsidRPr="00000000" w14:paraId="0000000A">
      <w:pPr>
        <w:spacing w:after="0" w:lineRule="auto"/>
        <w:ind w:left="0" w:firstLine="0"/>
        <w:rPr>
          <w:b w:val="1"/>
          <w:bCs w:val="1"/>
          <w:sz w:val="18"/>
          <w:szCs w:val="18"/>
        </w:rPr>
      </w:pPr>
      <w:r w:rsidDel="00000000" w:rsidR="00000000" w:rsidRPr="00000000">
        <w:rPr>
          <w:b w:val="1"/>
          <w:bCs w:val="1"/>
          <w:sz w:val="18"/>
          <w:szCs w:val="18"/>
          <w:rtl w:val="0"/>
        </w:rPr>
        <w:t xml:space="preserve">Robert Dawson</w:t>
      </w:r>
    </w:p>
    <w:p w:rsidR="00000000" w:rsidDel="00000000" w:rsidP="00000000" w:rsidRDefault="00000000" w:rsidRPr="00000000" w14:paraId="0000000B">
      <w:pPr>
        <w:shd w:fill="ffffff" w:val="clear"/>
        <w:spacing w:after="0" w:lineRule="auto"/>
        <w:ind w:right="7.204724409448886"/>
        <w:jc w:val="left"/>
        <w:rPr>
          <w:i w:val="1"/>
          <w:iCs w:val="1"/>
          <w:sz w:val="18"/>
          <w:szCs w:val="18"/>
        </w:rPr>
      </w:pPr>
      <w:r w:rsidDel="00000000" w:rsidR="00000000" w:rsidRPr="00000000">
        <w:rPr>
          <w:i w:val="1"/>
          <w:iCs w:val="1"/>
          <w:sz w:val="18"/>
          <w:szCs w:val="18"/>
          <w:rtl w:val="0"/>
        </w:rPr>
        <w:t xml:space="preserve">Junior Policy Officer, Digital &amp; Competitiveness</w:t>
      </w:r>
    </w:p>
    <w:p w:rsidR="00000000" w:rsidDel="00000000" w:rsidP="00000000" w:rsidRDefault="00000000" w:rsidRPr="00000000" w14:paraId="0000000C">
      <w:pPr>
        <w:spacing w:after="0" w:lineRule="auto"/>
        <w:ind w:right="-307.7952755905511"/>
        <w:jc w:val="left"/>
        <w:rPr/>
      </w:pPr>
      <w:hyperlink r:id="rId7">
        <w:r w:rsidDel="00000000" w:rsidR="00000000" w:rsidRPr="00000000">
          <w:rPr>
            <w:color w:val="0047ba"/>
            <w:sz w:val="18"/>
            <w:szCs w:val="18"/>
            <w:u w:val="single"/>
            <w:rtl w:val="0"/>
          </w:rPr>
          <w:t xml:space="preserve">robert.dawson@applia-euro</w:t>
        </w:r>
      </w:hyperlink>
      <w:r w:rsidDel="00000000" w:rsidR="00000000" w:rsidRPr="00000000">
        <w:rPr>
          <w:color w:val="0047ba"/>
          <w:sz w:val="18"/>
          <w:szCs w:val="18"/>
          <w:u w:val="single"/>
          <w:rtl w:val="0"/>
        </w:rPr>
        <w:t xml:space="preserve">pe.eu</w:t>
      </w:r>
      <w:r w:rsidDel="00000000" w:rsidR="00000000" w:rsidRPr="00000000">
        <w:rPr>
          <w:rtl w:val="0"/>
        </w:rPr>
      </w:r>
    </w:p>
    <w:sectPr>
      <w:headerReference r:id="rId8" w:type="default"/>
      <w:headerReference r:id="rId9" w:type="first"/>
      <w:footerReference r:id="rId10" w:type="default"/>
      <w:footerReference r:id="rId11" w:type="first"/>
      <w:pgSz w:h="16834" w:w="11909" w:orient="portrait"/>
      <w:pgMar w:bottom="1440" w:top="1440" w:left="1133.8582677165355" w:right="1440" w:header="720.0000000000001" w:footer="720.000000000000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jc w:val="right"/>
      <w:rPr>
        <w:sz w:val="16"/>
        <w:szCs w:val="16"/>
      </w:rPr>
    </w:pPr>
    <w:r w:rsidDel="00000000" w:rsidR="00000000" w:rsidRPr="00000000">
      <w:rPr>
        <w:rtl w:val="0"/>
      </w:rPr>
    </w:r>
  </w:p>
  <w:p w:rsidR="00000000" w:rsidDel="00000000" w:rsidP="00000000" w:rsidRDefault="00000000" w:rsidRPr="00000000" w14:paraId="00000019">
    <w:pPr>
      <w:jc w:val="right"/>
      <w:rPr/>
    </w:pPr>
    <w:r w:rsidDel="00000000" w:rsidR="00000000" w:rsidRPr="00000000">
      <w:rPr>
        <w:sz w:val="16"/>
        <w:szCs w:val="16"/>
      </w:rPr>
      <w:fldChar w:fldCharType="begin"/>
      <w:instrText xml:space="preserve">PAGE</w:instrText>
      <w:fldChar w:fldCharType="separate"/>
      <w:fldChar w:fldCharType="end"/>
    </w:r>
    <w:r w:rsidDel="00000000" w:rsidR="00000000" w:rsidRPr="00000000">
      <w:rPr>
        <w:sz w:val="16"/>
        <w:szCs w:val="16"/>
        <w:rtl w:val="0"/>
      </w:rPr>
      <w:t xml:space="preserve">/</w:t>
    </w:r>
    <w:r w:rsidDel="00000000" w:rsidR="00000000" w:rsidRPr="00000000">
      <w:rPr>
        <w:sz w:val="16"/>
        <w:szCs w:val="16"/>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jc w:val="right"/>
      <w:rPr/>
    </w:pPr>
    <w:r w:rsidDel="00000000" w:rsidR="00000000" w:rsidRPr="00000000">
      <w:rPr>
        <w:sz w:val="16"/>
        <w:szCs w:val="16"/>
      </w:rPr>
      <w:fldChar w:fldCharType="begin"/>
      <w:instrText xml:space="preserve">PAGE</w:instrText>
      <w:fldChar w:fldCharType="separate"/>
      <w:fldChar w:fldCharType="end"/>
    </w:r>
    <w:r w:rsidDel="00000000" w:rsidR="00000000" w:rsidRPr="00000000">
      <w:rPr>
        <w:sz w:val="16"/>
        <w:szCs w:val="16"/>
        <w:rtl w:val="0"/>
      </w:rPr>
      <w:t xml:space="preserve">/</w:t>
    </w:r>
    <w:r w:rsidDel="00000000" w:rsidR="00000000" w:rsidRPr="00000000">
      <w:rPr>
        <w:sz w:val="16"/>
        <w:szCs w:val="16"/>
      </w:rPr>
      <w:fldChar w:fldCharType="begin"/>
      <w:instrText xml:space="preserve">NUMPAGES</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B">
      <w:pPr>
        <w:spacing w:after="0" w:lineRule="auto"/>
        <w:jc w:val="left"/>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APPLiA Statistical Report 2023-2024. </w:t>
      </w:r>
      <w:hyperlink r:id="rId1">
        <w:r w:rsidDel="00000000" w:rsidR="00000000" w:rsidRPr="00000000">
          <w:rPr>
            <w:color w:val="1155cc"/>
            <w:sz w:val="16"/>
            <w:szCs w:val="16"/>
            <w:rtl w:val="0"/>
          </w:rPr>
          <w:t xml:space="preserve">https://statreport2024.applia-europe.eu/pillar/2/evolution-of-import-and-export-of-home-appliances-in-europe</w:t>
        </w:r>
      </w:hyperlink>
      <w:r w:rsidDel="00000000" w:rsidR="00000000" w:rsidRPr="00000000">
        <w:rPr>
          <w:rtl w:val="0"/>
        </w:rPr>
      </w:r>
    </w:p>
  </w:footnote>
  <w:footnote w:id="1">
    <w:p w:rsidR="00000000" w:rsidDel="00000000" w:rsidP="00000000" w:rsidRDefault="00000000" w:rsidRPr="00000000" w14:paraId="0000001C">
      <w:pPr>
        <w:spacing w:after="0" w:line="240" w:lineRule="auto"/>
        <w:jc w:val="left"/>
        <w:rPr>
          <w:sz w:val="16"/>
          <w:szCs w:val="16"/>
        </w:rPr>
      </w:pPr>
      <w:r w:rsidDel="00000000" w:rsidR="00000000" w:rsidRPr="00000000">
        <w:rPr>
          <w:rStyle w:val="FootnoteReference"/>
          <w:vertAlign w:val="superscript"/>
        </w:rPr>
        <w:footnoteRef/>
      </w:r>
      <w:r w:rsidDel="00000000" w:rsidR="00000000" w:rsidRPr="00000000">
        <w:rPr>
          <w:color w:val="444746"/>
          <w:sz w:val="16"/>
          <w:szCs w:val="16"/>
          <w:rtl w:val="0"/>
        </w:rPr>
        <w:t xml:space="preserve">Enerdata. (2024). Energy efficiency trends for households in the EU. Odyssee-MURE Webinar Series on Energy Efficiency. </w:t>
      </w:r>
      <w:hyperlink r:id="rId2">
        <w:r w:rsidDel="00000000" w:rsidR="00000000" w:rsidRPr="00000000">
          <w:rPr>
            <w:color w:val="1155cc"/>
            <w:sz w:val="16"/>
            <w:szCs w:val="16"/>
            <w:rtl w:val="0"/>
          </w:rPr>
          <w:t xml:space="preserve">https://www.odyssee-mure.eu/events/webinar/energy-efficiency-trends-household-sector-webinar-november-2024.pdf</w:t>
        </w:r>
      </w:hyperlink>
      <w:r w:rsidDel="00000000" w:rsidR="00000000" w:rsidRPr="00000000">
        <w:rPr>
          <w:rtl w:val="0"/>
        </w:rPr>
      </w:r>
    </w:p>
  </w:footnote>
  <w:footnote w:id="4">
    <w:p w:rsidR="00000000" w:rsidDel="00000000" w:rsidP="00000000" w:rsidRDefault="00000000" w:rsidRPr="00000000" w14:paraId="0000001D">
      <w:pPr>
        <w:spacing w:after="0" w:line="240" w:lineRule="auto"/>
        <w:rPr>
          <w:sz w:val="16"/>
          <w:szCs w:val="16"/>
        </w:rPr>
      </w:pPr>
      <w:r w:rsidDel="00000000" w:rsidR="00000000" w:rsidRPr="00000000">
        <w:rPr>
          <w:rStyle w:val="FootnoteReference"/>
          <w:vertAlign w:val="superscript"/>
        </w:rPr>
        <w:footnoteRef/>
      </w:r>
      <w:hyperlink r:id="rId3">
        <w:r w:rsidDel="00000000" w:rsidR="00000000" w:rsidRPr="00000000">
          <w:rPr>
            <w:color w:val="1155cc"/>
            <w:sz w:val="16"/>
            <w:szCs w:val="16"/>
            <w:u w:val="single"/>
            <w:rtl w:val="0"/>
          </w:rPr>
          <w:t xml:space="preserve">https://en.ilsole24ore.com/art/bonus-home-appliances-are-6-thousand-products-that-can-be-purchased-AHUXV3jD</w:t>
        </w:r>
      </w:hyperlink>
      <w:r w:rsidDel="00000000" w:rsidR="00000000" w:rsidRPr="00000000">
        <w:rPr>
          <w:rtl w:val="0"/>
        </w:rPr>
      </w:r>
    </w:p>
  </w:footnote>
  <w:footnote w:id="2">
    <w:p w:rsidR="00000000" w:rsidDel="00000000" w:rsidP="00000000" w:rsidRDefault="00000000" w:rsidRPr="00000000" w14:paraId="0000001E">
      <w:pPr>
        <w:spacing w:after="0" w:line="240" w:lineRule="auto"/>
        <w:rPr>
          <w:sz w:val="16"/>
          <w:szCs w:val="16"/>
        </w:rPr>
      </w:pPr>
      <w:r w:rsidDel="00000000" w:rsidR="00000000" w:rsidRPr="00000000">
        <w:rPr>
          <w:rStyle w:val="FootnoteReference"/>
          <w:vertAlign w:val="superscript"/>
        </w:rPr>
        <w:footnoteRef/>
      </w:r>
      <w:r w:rsidDel="00000000" w:rsidR="00000000" w:rsidRPr="00000000">
        <w:rPr>
          <w:rtl w:val="0"/>
        </w:rPr>
        <w:t xml:space="preserve"> </w:t>
      </w:r>
      <w:hyperlink r:id="rId4">
        <w:r w:rsidDel="00000000" w:rsidR="00000000" w:rsidRPr="00000000">
          <w:rPr>
            <w:color w:val="1155cc"/>
            <w:sz w:val="16"/>
            <w:szCs w:val="16"/>
            <w:u w:val="single"/>
            <w:rtl w:val="0"/>
          </w:rPr>
          <w:t xml:space="preserve">https://energy-efficient-products.ec.europa.eu/ecodesign-and-energy-label_en</w:t>
        </w:r>
      </w:hyperlink>
      <w:r w:rsidDel="00000000" w:rsidR="00000000" w:rsidRPr="00000000">
        <w:rPr>
          <w:rtl w:val="0"/>
        </w:rPr>
      </w:r>
    </w:p>
  </w:footnote>
  <w:footnote w:id="3">
    <w:p w:rsidR="00000000" w:rsidDel="00000000" w:rsidP="00000000" w:rsidRDefault="00000000" w:rsidRPr="00000000" w14:paraId="0000001F">
      <w:pPr>
        <w:spacing w:after="0" w:line="240" w:lineRule="auto"/>
        <w:rPr>
          <w:sz w:val="16"/>
          <w:szCs w:val="16"/>
        </w:rPr>
      </w:pPr>
      <w:r w:rsidDel="00000000" w:rsidR="00000000" w:rsidRPr="00000000">
        <w:rPr>
          <w:rStyle w:val="FootnoteReference"/>
          <w:vertAlign w:val="superscript"/>
        </w:rPr>
        <w:footnoteRef/>
      </w:r>
      <w:r w:rsidDel="00000000" w:rsidR="00000000" w:rsidRPr="00000000">
        <w:rPr>
          <w:rtl w:val="0"/>
        </w:rPr>
        <w:t xml:space="preserve"> </w:t>
      </w:r>
      <w:hyperlink r:id="rId5">
        <w:r w:rsidDel="00000000" w:rsidR="00000000" w:rsidRPr="00000000">
          <w:rPr>
            <w:color w:val="1155cc"/>
            <w:sz w:val="16"/>
            <w:szCs w:val="16"/>
            <w:u w:val="single"/>
            <w:rtl w:val="0"/>
          </w:rPr>
          <w:t xml:space="preserve">https://yearbook.enerdata.net/total-energy/world-consumption-statistics.html</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spacing w:line="360" w:lineRule="auto"/>
      <w:jc w:val="right"/>
      <w:rPr/>
    </w:pPr>
    <w:r w:rsidDel="00000000" w:rsidR="00000000" w:rsidRPr="00000000">
      <w:rPr/>
      <w:drawing>
        <wp:inline distB="114300" distT="114300" distL="114300" distR="114300">
          <wp:extent cx="360000" cy="366545"/>
          <wp:effectExtent b="0" l="0" r="0" t="0"/>
          <wp:docPr id="1" name="image2.png"/>
          <a:graphic>
            <a:graphicData uri="http://schemas.openxmlformats.org/drawingml/2006/picture">
              <pic:pic>
                <pic:nvPicPr>
                  <pic:cNvPr id="0" name="image2.png"/>
                  <pic:cNvPicPr preferRelativeResize="0"/>
                </pic:nvPicPr>
                <pic:blipFill>
                  <a:blip r:embed="rId1">
                    <a:alphaModFix amt="50000"/>
                  </a:blip>
                  <a:srcRect b="0" l="0" r="0" t="0"/>
                  <a:stretch>
                    <a:fillRect/>
                  </a:stretch>
                </pic:blipFill>
                <pic:spPr>
                  <a:xfrm>
                    <a:off x="0" y="0"/>
                    <a:ext cx="360000" cy="36654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spacing w:after="0" w:lineRule="auto"/>
      <w:jc w:val="right"/>
      <w:rPr>
        <w:b w:val="1"/>
        <w:bCs w:val="1"/>
        <w:color w:val="ca003d"/>
        <w:sz w:val="16"/>
        <w:szCs w:val="16"/>
      </w:rPr>
    </w:pPr>
    <w:r w:rsidDel="00000000" w:rsidR="00000000" w:rsidRPr="00000000">
      <w:rPr>
        <w:b w:val="1"/>
        <w:bCs w:val="1"/>
        <w:color w:val="0047ba"/>
        <w:sz w:val="16"/>
        <w:szCs w:val="16"/>
      </w:rPr>
      <w:drawing>
        <wp:anchor allowOverlap="1" behindDoc="0" distB="0" distT="0" distL="0" distR="0" hidden="0" layoutInCell="1" locked="0" relativeHeight="0" simplePos="0">
          <wp:simplePos x="0" y="0"/>
          <wp:positionH relativeFrom="page">
            <wp:posOffset>666750</wp:posOffset>
          </wp:positionH>
          <wp:positionV relativeFrom="page">
            <wp:posOffset>400050</wp:posOffset>
          </wp:positionV>
          <wp:extent cx="1543050" cy="581025"/>
          <wp:effectExtent b="0" l="0" r="0" t="0"/>
          <wp:wrapSquare wrapText="bothSides" distB="0" distT="0" distL="0" distR="0"/>
          <wp:docPr id="2" name="image1.png"/>
          <a:graphic>
            <a:graphicData uri="http://schemas.openxmlformats.org/drawingml/2006/picture">
              <pic:pic>
                <pic:nvPicPr>
                  <pic:cNvPr id="0" name="image1.png"/>
                  <pic:cNvPicPr preferRelativeResize="0"/>
                </pic:nvPicPr>
                <pic:blipFill>
                  <a:blip r:embed="rId1"/>
                  <a:srcRect b="-10124" l="-3712" r="-3582" t="-10124"/>
                  <a:stretch>
                    <a:fillRect/>
                  </a:stretch>
                </pic:blipFill>
                <pic:spPr>
                  <a:xfrm>
                    <a:off x="0" y="0"/>
                    <a:ext cx="1543050" cy="581025"/>
                  </a:xfrm>
                  <a:prstGeom prst="rect"/>
                  <a:ln/>
                </pic:spPr>
              </pic:pic>
            </a:graphicData>
          </a:graphic>
        </wp:anchor>
      </w:drawing>
    </w:r>
    <w:r w:rsidDel="00000000" w:rsidR="00000000" w:rsidRPr="00000000">
      <w:rPr>
        <w:b w:val="1"/>
        <w:bCs w:val="1"/>
        <w:color w:val="0047ba"/>
        <w:sz w:val="16"/>
        <w:szCs w:val="16"/>
        <w:rtl w:val="0"/>
      </w:rPr>
      <w:t xml:space="preserve">May 2026</w:t>
    </w:r>
    <w:r w:rsidDel="00000000" w:rsidR="00000000" w:rsidRPr="00000000">
      <w:rPr>
        <w:rtl w:val="0"/>
      </w:rPr>
    </w:r>
  </w:p>
  <w:p w:rsidR="00000000" w:rsidDel="00000000" w:rsidP="00000000" w:rsidRDefault="00000000" w:rsidRPr="00000000" w14:paraId="00000010">
    <w:pPr>
      <w:spacing w:after="0" w:line="276" w:lineRule="auto"/>
      <w:rPr>
        <w:sz w:val="16"/>
        <w:szCs w:val="16"/>
      </w:rPr>
    </w:pPr>
    <w:r w:rsidDel="00000000" w:rsidR="00000000" w:rsidRPr="00000000">
      <w:rPr>
        <w:rtl w:val="0"/>
      </w:rPr>
    </w:r>
  </w:p>
  <w:p w:rsidR="00000000" w:rsidDel="00000000" w:rsidP="00000000" w:rsidRDefault="00000000" w:rsidRPr="00000000" w14:paraId="00000011">
    <w:pPr>
      <w:spacing w:after="0" w:lineRule="auto"/>
      <w:jc w:val="left"/>
      <w:rPr>
        <w:sz w:val="16"/>
        <w:szCs w:val="16"/>
      </w:rPr>
    </w:pPr>
    <w:r w:rsidDel="00000000" w:rsidR="00000000" w:rsidRPr="00000000">
      <w:rPr>
        <w:rtl w:val="0"/>
      </w:rPr>
    </w:r>
  </w:p>
  <w:p w:rsidR="00000000" w:rsidDel="00000000" w:rsidP="00000000" w:rsidRDefault="00000000" w:rsidRPr="00000000" w14:paraId="00000012">
    <w:pPr>
      <w:spacing w:after="0" w:lineRule="auto"/>
      <w:rPr>
        <w:sz w:val="16"/>
        <w:szCs w:val="16"/>
      </w:rPr>
    </w:pPr>
    <w:r w:rsidDel="00000000" w:rsidR="00000000" w:rsidRPr="00000000">
      <w:rPr>
        <w:rtl w:val="0"/>
      </w:rPr>
    </w:r>
  </w:p>
  <w:p w:rsidR="00000000" w:rsidDel="00000000" w:rsidP="00000000" w:rsidRDefault="00000000" w:rsidRPr="00000000" w14:paraId="00000013">
    <w:pPr>
      <w:spacing w:after="0" w:lineRule="auto"/>
      <w:jc w:val="left"/>
      <w:rPr>
        <w:sz w:val="16"/>
        <w:szCs w:val="16"/>
      </w:rPr>
    </w:pPr>
    <w:r w:rsidDel="00000000" w:rsidR="00000000" w:rsidRPr="00000000">
      <w:rPr>
        <w:sz w:val="16"/>
        <w:szCs w:val="16"/>
        <w:rtl w:val="0"/>
      </w:rPr>
      <w:t xml:space="preserve">Bld. Brand Whitlock 114 B-1200 Brussels</w:t>
    </w:r>
  </w:p>
  <w:p w:rsidR="00000000" w:rsidDel="00000000" w:rsidP="00000000" w:rsidRDefault="00000000" w:rsidRPr="00000000" w14:paraId="00000014">
    <w:pPr>
      <w:spacing w:after="0" w:lineRule="auto"/>
      <w:jc w:val="left"/>
      <w:rPr>
        <w:b w:val="1"/>
        <w:bCs w:val="1"/>
        <w:color w:val="0047ba"/>
        <w:sz w:val="16"/>
        <w:szCs w:val="16"/>
      </w:rPr>
    </w:pPr>
    <w:hyperlink r:id="rId2">
      <w:r w:rsidDel="00000000" w:rsidR="00000000" w:rsidRPr="00000000">
        <w:rPr>
          <w:b w:val="1"/>
          <w:bCs w:val="1"/>
          <w:color w:val="1155cc"/>
          <w:sz w:val="16"/>
          <w:szCs w:val="16"/>
          <w:rtl w:val="0"/>
        </w:rPr>
        <w:t xml:space="preserve">hello@applia-europe.eu</w:t>
      </w:r>
    </w:hyperlink>
    <w:r w:rsidDel="00000000" w:rsidR="00000000" w:rsidRPr="00000000">
      <w:rPr>
        <w:sz w:val="16"/>
        <w:szCs w:val="16"/>
        <w:rtl w:val="0"/>
      </w:rPr>
      <w:t xml:space="preserve"> | </w:t>
    </w:r>
    <w:hyperlink r:id="rId3">
      <w:r w:rsidDel="00000000" w:rsidR="00000000" w:rsidRPr="00000000">
        <w:rPr>
          <w:b w:val="1"/>
          <w:bCs w:val="1"/>
          <w:color w:val="0047ba"/>
          <w:sz w:val="16"/>
          <w:szCs w:val="16"/>
          <w:rtl w:val="0"/>
        </w:rPr>
        <w:t xml:space="preserve">www.applia-europe.eu</w:t>
      </w:r>
    </w:hyperlink>
    <w:r w:rsidDel="00000000" w:rsidR="00000000" w:rsidRPr="00000000">
      <w:rPr>
        <w:b w:val="1"/>
        <w:bCs w:val="1"/>
        <w:color w:val="0047ba"/>
        <w:sz w:val="16"/>
        <w:szCs w:val="16"/>
        <w:rtl w:val="0"/>
      </w:rPr>
      <w:t xml:space="preserve"> </w:t>
    </w:r>
  </w:p>
  <w:p w:rsidR="00000000" w:rsidDel="00000000" w:rsidP="00000000" w:rsidRDefault="00000000" w:rsidRPr="00000000" w14:paraId="00000015">
    <w:pPr>
      <w:spacing w:after="0" w:lineRule="auto"/>
      <w:jc w:val="left"/>
      <w:rPr>
        <w:sz w:val="16"/>
        <w:szCs w:val="16"/>
      </w:rPr>
    </w:pPr>
    <w:r w:rsidDel="00000000" w:rsidR="00000000" w:rsidRPr="00000000">
      <w:rPr>
        <w:sz w:val="16"/>
        <w:szCs w:val="16"/>
        <w:rtl w:val="0"/>
      </w:rPr>
      <w:t xml:space="preserve">APPLiA Home Appliance Europe AISBL</w:t>
    </w:r>
  </w:p>
  <w:p w:rsidR="00000000" w:rsidDel="00000000" w:rsidP="00000000" w:rsidRDefault="00000000" w:rsidRPr="00000000" w14:paraId="00000016">
    <w:pPr>
      <w:spacing w:after="0" w:lineRule="auto"/>
      <w:jc w:val="left"/>
      <w:rPr>
        <w:sz w:val="16"/>
        <w:szCs w:val="16"/>
      </w:rPr>
    </w:pPr>
    <w:r w:rsidDel="00000000" w:rsidR="00000000" w:rsidRPr="00000000">
      <w:rPr>
        <w:sz w:val="16"/>
        <w:szCs w:val="16"/>
        <w:rtl w:val="0"/>
      </w:rPr>
      <w:t xml:space="preserve">Transparency number: 04201463642-88</w:t>
    </w:r>
  </w:p>
  <w:p w:rsidR="00000000" w:rsidDel="00000000" w:rsidP="00000000" w:rsidRDefault="00000000" w:rsidRPr="00000000" w14:paraId="00000017">
    <w:pPr>
      <w:spacing w:after="0" w:lineRule="auto"/>
      <w:jc w:val="left"/>
      <w:rPr>
        <w:sz w:val="16"/>
        <w:szCs w:val="16"/>
      </w:rPr>
    </w:pPr>
    <w:r w:rsidDel="00000000" w:rsidR="00000000" w:rsidRPr="00000000">
      <w:rPr>
        <w:sz w:val="16"/>
        <w:szCs w:val="16"/>
        <w:rtl w:val="0"/>
      </w:rPr>
      <w:t xml:space="preserve">VAT BE 0460 033 584</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color w:val="1b1741"/>
        <w:lang w:val="en_GB"/>
      </w:rPr>
    </w:rPrDefault>
    <w:pPrDefault>
      <w:pPr>
        <w:spacing w:after="20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b w:val="1"/>
      <w:bCs w:val="1"/>
      <w:color w:val="0047ba"/>
      <w:sz w:val="40"/>
      <w:szCs w:val="40"/>
    </w:rPr>
  </w:style>
  <w:style w:type="paragraph" w:styleId="Heading2">
    <w:name w:val="heading 2"/>
    <w:basedOn w:val="Normal"/>
    <w:next w:val="Normal"/>
    <w:pPr>
      <w:keepNext w:val="1"/>
      <w:keepLines w:val="1"/>
      <w:spacing w:after="120" w:before="360" w:lineRule="auto"/>
    </w:pPr>
    <w:rPr>
      <w:b w:val="1"/>
      <w:bCs w:val="1"/>
      <w:sz w:val="32"/>
      <w:szCs w:val="32"/>
    </w:rPr>
  </w:style>
  <w:style w:type="paragraph" w:styleId="Heading3">
    <w:name w:val="heading 3"/>
    <w:basedOn w:val="Normal"/>
    <w:next w:val="Normal"/>
    <w:pPr>
      <w:keepNext w:val="1"/>
      <w:keepLines w:val="1"/>
      <w:spacing w:after="80" w:before="320" w:lineRule="auto"/>
    </w:pPr>
    <w:rPr>
      <w:b w:val="1"/>
      <w:bCs w:val="1"/>
      <w:sz w:val="28"/>
      <w:szCs w:val="28"/>
    </w:rPr>
  </w:style>
  <w:style w:type="paragraph" w:styleId="Heading4">
    <w:name w:val="heading 4"/>
    <w:basedOn w:val="Normal"/>
    <w:next w:val="Normal"/>
    <w:pPr>
      <w:keepNext w:val="1"/>
      <w:keepLines w:val="1"/>
      <w:spacing w:after="80" w:before="280" w:lineRule="auto"/>
    </w:pPr>
    <w:rPr>
      <w:b w:val="1"/>
      <w:bCs w:val="1"/>
      <w:sz w:val="24"/>
      <w:szCs w:val="24"/>
    </w:rPr>
  </w:style>
  <w:style w:type="paragraph" w:styleId="Heading5">
    <w:name w:val="heading 5"/>
    <w:basedOn w:val="Normal"/>
    <w:next w:val="Normal"/>
    <w:pPr>
      <w:keepNext w:val="1"/>
      <w:keepLines w:val="1"/>
      <w:spacing w:after="80" w:before="240" w:lineRule="auto"/>
    </w:pPr>
    <w:rPr>
      <w:b w:val="1"/>
      <w:bCs w:val="1"/>
    </w:rPr>
  </w:style>
  <w:style w:type="paragraph" w:styleId="Heading6">
    <w:name w:val="heading 6"/>
    <w:basedOn w:val="Normal"/>
    <w:next w:val="Normal"/>
    <w:pPr>
      <w:keepNext w:val="1"/>
      <w:keepLines w:val="1"/>
      <w:spacing w:after="80" w:before="240" w:lineRule="auto"/>
    </w:pPr>
    <w:rPr>
      <w:i w:val="1"/>
      <w:iCs w:val="1"/>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Pr>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mailto:robert.dawson@applia-europe.eu" TargetMode="External"/><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statreport2024.applia-europe.eu/pillar/2/evolution-of-import-and-export-of-home-appliances-in-europe" TargetMode="External"/><Relationship Id="rId2" Type="http://schemas.openxmlformats.org/officeDocument/2006/relationships/hyperlink" Target="https://www.odyssee-mure.eu/events/webinar/energy-efficiency-trends-household-sector-webinar-november-2024.pdf" TargetMode="External"/><Relationship Id="rId3" Type="http://schemas.openxmlformats.org/officeDocument/2006/relationships/hyperlink" Target="https://en.ilsole24ore.com/art/bonus-home-appliances-are-6-thousand-products-that-can-be-purchased-AHUXV3jD" TargetMode="External"/><Relationship Id="rId4" Type="http://schemas.openxmlformats.org/officeDocument/2006/relationships/hyperlink" Target="https://energy-efficient-products.ec.europa.eu/ecodesign-and-energy-label_en" TargetMode="External"/><Relationship Id="rId5" Type="http://schemas.openxmlformats.org/officeDocument/2006/relationships/hyperlink" Target="https://yearbook.enerdata.net/total-energy/world-consumption-statistic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hello@applia-europe.eu" TargetMode="External"/><Relationship Id="rId3" Type="http://schemas.openxmlformats.org/officeDocument/2006/relationships/hyperlink" Target="http://www.applia-europe.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